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5B" w:rsidRPr="00E514F2" w:rsidRDefault="00C32E5B">
      <w:pPr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u w:val="single"/>
          <w:lang w:val="es-ES_tradnl"/>
        </w:rPr>
      </w:pPr>
      <w:bookmarkStart w:id="0" w:name="_GoBack"/>
      <w:bookmarkEnd w:id="0"/>
      <w:r w:rsidRPr="00E514F2">
        <w:rPr>
          <w:rFonts w:ascii="Arial" w:hAnsi="Arial" w:cs="Arial"/>
          <w:b/>
          <w:bCs/>
          <w:spacing w:val="-3"/>
          <w:lang w:val="es-ES_tradnl"/>
        </w:rPr>
        <w:tab/>
      </w:r>
      <w:r w:rsidRPr="00E514F2">
        <w:rPr>
          <w:rFonts w:ascii="Arial" w:hAnsi="Arial" w:cs="Arial"/>
          <w:b/>
          <w:bCs/>
          <w:spacing w:val="-3"/>
          <w:lang w:val="es-ES_tradnl"/>
        </w:rPr>
        <w:tab/>
      </w:r>
      <w:r w:rsidRPr="00E514F2">
        <w:rPr>
          <w:rFonts w:ascii="Arial" w:hAnsi="Arial" w:cs="Arial"/>
          <w:b/>
          <w:bCs/>
          <w:spacing w:val="-3"/>
          <w:lang w:val="es-ES_tradnl"/>
        </w:rPr>
        <w:tab/>
      </w:r>
      <w:r w:rsidRPr="00E514F2">
        <w:rPr>
          <w:rFonts w:ascii="Arial" w:hAnsi="Arial" w:cs="Arial"/>
          <w:b/>
          <w:bCs/>
          <w:spacing w:val="-3"/>
          <w:lang w:val="es-ES_tradnl"/>
        </w:rPr>
        <w:tab/>
      </w:r>
      <w:r w:rsidRPr="00E514F2">
        <w:rPr>
          <w:rFonts w:ascii="Arial" w:hAnsi="Arial" w:cs="Arial"/>
          <w:b/>
          <w:bCs/>
          <w:spacing w:val="-3"/>
          <w:lang w:val="es-ES_tradnl"/>
        </w:rPr>
        <w:tab/>
      </w:r>
      <w:r w:rsidRPr="00E514F2">
        <w:rPr>
          <w:rFonts w:ascii="Arial" w:hAnsi="Arial" w:cs="Arial"/>
          <w:b/>
          <w:bCs/>
          <w:spacing w:val="-3"/>
          <w:u w:val="single"/>
          <w:lang w:val="es-ES_tradnl"/>
        </w:rPr>
        <w:t>MANDATO JUDICIAL</w:t>
      </w:r>
    </w:p>
    <w:p w:rsidR="00C32E5B" w:rsidRPr="00E514F2" w:rsidRDefault="00C32E5B">
      <w:pPr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u w:val="single"/>
          <w:lang w:val="es-ES_tradnl"/>
        </w:rPr>
      </w:pPr>
    </w:p>
    <w:p w:rsidR="00C32E5B" w:rsidRPr="00E514F2" w:rsidRDefault="00C32E5B">
      <w:pPr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u w:val="single"/>
          <w:lang w:val="es-ES_tradnl"/>
        </w:rPr>
      </w:pPr>
    </w:p>
    <w:p w:rsidR="007F397B" w:rsidRPr="00510B4F" w:rsidRDefault="00C32E5B">
      <w:pPr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lang w:val="es-ES_tradnl"/>
        </w:rPr>
      </w:pPr>
      <w:r w:rsidRPr="00E514F2">
        <w:rPr>
          <w:rFonts w:ascii="Arial" w:hAnsi="Arial" w:cs="Arial"/>
          <w:b/>
          <w:bCs/>
          <w:spacing w:val="-3"/>
          <w:lang w:val="es-ES_tradnl"/>
        </w:rPr>
        <w:t>Comparece:</w:t>
      </w:r>
      <w:r w:rsidR="009A5737" w:rsidRPr="00E514F2">
        <w:rPr>
          <w:rFonts w:ascii="Arial" w:hAnsi="Arial" w:cs="Arial"/>
          <w:b/>
          <w:bCs/>
          <w:spacing w:val="-3"/>
          <w:lang w:val="es-ES_tradnl"/>
        </w:rPr>
        <w:t xml:space="preserve"> </w:t>
      </w:r>
      <w:r w:rsidR="00510B4F" w:rsidRPr="00510B4F">
        <w:rPr>
          <w:rFonts w:ascii="Arial" w:hAnsi="Arial" w:cs="Arial"/>
          <w:bCs/>
          <w:spacing w:val="-3"/>
          <w:lang w:val="es-ES_tradnl"/>
        </w:rPr>
        <w:t>nombre, nacionalidad, estado civil, profesión u oficio,</w:t>
      </w:r>
      <w:r w:rsidR="00510B4F">
        <w:rPr>
          <w:rFonts w:ascii="Arial" w:hAnsi="Arial" w:cs="Arial"/>
          <w:b/>
          <w:bCs/>
          <w:spacing w:val="-3"/>
          <w:lang w:val="es-ES_tradnl"/>
        </w:rPr>
        <w:t xml:space="preserve"> </w:t>
      </w:r>
      <w:bookmarkStart w:id="1" w:name="_Hlk513217820"/>
      <w:bookmarkStart w:id="2" w:name="_Hlk513129912"/>
      <w:r w:rsidR="001C3662" w:rsidRPr="00E514F2">
        <w:rPr>
          <w:rFonts w:ascii="Arial" w:hAnsi="Arial" w:cs="Arial"/>
          <w:bCs/>
          <w:spacing w:val="-3"/>
          <w:lang w:val="es-ES_tradnl"/>
        </w:rPr>
        <w:t xml:space="preserve">cédula nacional de identidad </w:t>
      </w:r>
      <w:r w:rsidR="00510B4F">
        <w:rPr>
          <w:rFonts w:ascii="Arial" w:hAnsi="Arial" w:cs="Arial"/>
          <w:bCs/>
          <w:spacing w:val="-3"/>
          <w:lang w:val="es-ES_tradnl"/>
        </w:rPr>
        <w:t xml:space="preserve">número …., </w:t>
      </w:r>
      <w:bookmarkEnd w:id="1"/>
      <w:bookmarkEnd w:id="2"/>
      <w:r w:rsidR="00510B4F">
        <w:rPr>
          <w:rFonts w:ascii="Arial" w:hAnsi="Arial" w:cs="Arial"/>
          <w:bCs/>
          <w:spacing w:val="-3"/>
          <w:lang w:val="es-ES_tradnl"/>
        </w:rPr>
        <w:t xml:space="preserve">con </w:t>
      </w:r>
      <w:r w:rsidR="002D034B" w:rsidRPr="0043190B">
        <w:rPr>
          <w:rFonts w:ascii="Arial" w:hAnsi="Arial" w:cs="Arial"/>
          <w:bCs/>
          <w:spacing w:val="-3"/>
          <w:lang w:val="es-ES_tradnl"/>
        </w:rPr>
        <w:t>domicili</w:t>
      </w:r>
      <w:r w:rsidR="00510B4F">
        <w:rPr>
          <w:rFonts w:ascii="Arial" w:hAnsi="Arial" w:cs="Arial"/>
          <w:bCs/>
          <w:spacing w:val="-3"/>
          <w:lang w:val="es-ES_tradnl"/>
        </w:rPr>
        <w:t xml:space="preserve">o en ….., </w:t>
      </w:r>
      <w:r w:rsidR="005A6CFF" w:rsidRPr="0043190B">
        <w:rPr>
          <w:rFonts w:ascii="Arial" w:hAnsi="Arial" w:cs="Arial"/>
          <w:bCs/>
          <w:spacing w:val="-3"/>
          <w:lang w:val="es-ES_tradnl"/>
        </w:rPr>
        <w:t>quien acredita su identidad con la cédula antes citada y</w:t>
      </w:r>
      <w:r w:rsidRPr="0043190B">
        <w:rPr>
          <w:rFonts w:ascii="Arial" w:hAnsi="Arial" w:cs="Arial"/>
          <w:spacing w:val="-3"/>
          <w:lang w:val="es-ES_tradnl"/>
        </w:rPr>
        <w:t xml:space="preserve"> expone: </w:t>
      </w:r>
      <w:r w:rsidR="00510B4F">
        <w:rPr>
          <w:rFonts w:ascii="Arial" w:hAnsi="Arial" w:cs="Arial"/>
          <w:spacing w:val="-3"/>
          <w:lang w:val="es-ES_tradnl"/>
        </w:rPr>
        <w:t>Que</w:t>
      </w:r>
      <w:r w:rsidR="005A6CFF" w:rsidRPr="00E514F2">
        <w:rPr>
          <w:rFonts w:ascii="Arial" w:hAnsi="Arial" w:cs="Arial"/>
          <w:spacing w:val="-3"/>
          <w:lang w:val="es-ES_tradnl"/>
        </w:rPr>
        <w:t xml:space="preserve"> </w:t>
      </w:r>
      <w:r w:rsidRPr="00E514F2">
        <w:rPr>
          <w:rFonts w:ascii="Arial" w:hAnsi="Arial" w:cs="Arial"/>
          <w:spacing w:val="-3"/>
          <w:lang w:val="es-ES_tradnl"/>
        </w:rPr>
        <w:t xml:space="preserve">viene en conferir mandato judicial a don Andrés Jorge Montecinos Berger, abogado, cédula nacional de identidad número diez millones trescientos setenta y nueve mil trescientos nueve guión dos, para que </w:t>
      </w:r>
      <w:r w:rsidR="005A6CFF" w:rsidRPr="00E514F2">
        <w:rPr>
          <w:rFonts w:ascii="Arial" w:hAnsi="Arial" w:cs="Arial"/>
          <w:spacing w:val="-3"/>
          <w:lang w:val="es-ES_tradnl"/>
        </w:rPr>
        <w:t xml:space="preserve">actúe en su </w:t>
      </w:r>
      <w:r w:rsidR="009A5737" w:rsidRPr="00E514F2">
        <w:rPr>
          <w:rFonts w:ascii="Arial" w:hAnsi="Arial" w:cs="Arial"/>
          <w:spacing w:val="-3"/>
          <w:lang w:val="es-ES_tradnl"/>
        </w:rPr>
        <w:t xml:space="preserve">nombre y representación </w:t>
      </w:r>
      <w:r w:rsidR="001050E4" w:rsidRPr="00E514F2">
        <w:rPr>
          <w:rFonts w:ascii="Arial" w:hAnsi="Arial" w:cs="Arial"/>
          <w:spacing w:val="-3"/>
          <w:lang w:val="es-ES_tradnl"/>
        </w:rPr>
        <w:t xml:space="preserve">en todo juicio de cualquier naturaleza y clase que sea y que actualmente tenga pendiente o le ocurra en lo sucesivo, con la limitación de no poder contestar nuevas demandas ni ser emplazado en gestión judicial alguna sin previa notificación personal del </w:t>
      </w:r>
      <w:r w:rsidR="0024603C" w:rsidRPr="00E514F2">
        <w:rPr>
          <w:rFonts w:ascii="Arial" w:hAnsi="Arial" w:cs="Arial"/>
          <w:spacing w:val="-3"/>
          <w:lang w:val="es-ES_tradnl"/>
        </w:rPr>
        <w:t>mandante</w:t>
      </w:r>
      <w:r w:rsidR="001050E4" w:rsidRPr="00E514F2">
        <w:rPr>
          <w:rFonts w:ascii="Arial" w:hAnsi="Arial" w:cs="Arial"/>
          <w:spacing w:val="-3"/>
          <w:lang w:val="es-ES_tradnl"/>
        </w:rPr>
        <w:t>. Se confieren al mandatario las facultades indicadas en ambos incisos del Artículo Séptimo del Código de Procedimiento Civil, las que se dan por reproducidas en forma expresa por este acto, y especialmente, las de presentar demandas, querellas, requerimientos e iniciar cualquier otra especie de gestión judicial, sea de gestión voluntaria o contenciosa, reconvenir, contestar reconvenciones, absolver posiciones, transigir, comprometer, otorgar a los árbitros facultades de arbitradores, avenir</w:t>
      </w:r>
      <w:r w:rsidR="0024603C" w:rsidRPr="00E514F2">
        <w:rPr>
          <w:rFonts w:ascii="Arial" w:hAnsi="Arial" w:cs="Arial"/>
          <w:spacing w:val="-3"/>
          <w:lang w:val="es-ES_tradnl"/>
        </w:rPr>
        <w:t>, conciliar y percibir</w:t>
      </w:r>
      <w:r w:rsidR="001050E4" w:rsidRPr="00E514F2">
        <w:rPr>
          <w:rFonts w:ascii="Arial" w:hAnsi="Arial" w:cs="Arial"/>
          <w:spacing w:val="-3"/>
          <w:lang w:val="es-ES_tradnl"/>
        </w:rPr>
        <w:t>. En el desempeño del mandato, el mandatario podrá representar al mandante en todos los juicios o gestiones judiciales en que actualmente tenga interés o lo tuviere en lo sucesivo, ante cualquier tribunal del orden judicial, de compromiso o administrativo, y en juicios de cualquier naturaleza, así intervenga el mandante como demandante o demandado, querellante o querellado, tercerista o a cualquier otro título o en cualquier otra forma, hasta la completa ejecución de la sentencia, pudiendo nombrar abogados patrocinantes y apoderados con todas las facultades que por este instrumento se le confieren, y pudiendo delegar este poder y reasumirlo cuantas veces lo estime conveniente.</w:t>
      </w:r>
      <w:r w:rsidR="0024603C" w:rsidRPr="00E514F2">
        <w:rPr>
          <w:rFonts w:ascii="Arial" w:hAnsi="Arial" w:cs="Arial"/>
          <w:spacing w:val="-3"/>
          <w:lang w:val="es-ES_tradnl"/>
        </w:rPr>
        <w:t xml:space="preserve"> E</w:t>
      </w:r>
      <w:r w:rsidRPr="00E514F2">
        <w:rPr>
          <w:rFonts w:ascii="Arial" w:hAnsi="Arial" w:cs="Arial"/>
          <w:spacing w:val="-3"/>
          <w:lang w:val="es-ES_tradnl"/>
        </w:rPr>
        <w:t xml:space="preserve">l mandatario queda facultado para retener, por concepto de honorarios, </w:t>
      </w:r>
      <w:r w:rsidR="00C376A0" w:rsidRPr="00E514F2">
        <w:rPr>
          <w:rFonts w:ascii="Arial" w:hAnsi="Arial" w:cs="Arial"/>
          <w:spacing w:val="-3"/>
          <w:lang w:val="es-ES_tradnl"/>
        </w:rPr>
        <w:t xml:space="preserve">las costas de la causa </w:t>
      </w:r>
      <w:r w:rsidR="005A6CFF" w:rsidRPr="00E514F2">
        <w:rPr>
          <w:rFonts w:ascii="Arial" w:hAnsi="Arial" w:cs="Arial"/>
          <w:spacing w:val="-3"/>
          <w:lang w:val="es-ES_tradnl"/>
        </w:rPr>
        <w:t xml:space="preserve">si las hubiere </w:t>
      </w:r>
      <w:r w:rsidR="00C376A0" w:rsidRPr="00E514F2">
        <w:rPr>
          <w:rFonts w:ascii="Arial" w:hAnsi="Arial" w:cs="Arial"/>
          <w:spacing w:val="-3"/>
          <w:lang w:val="es-ES_tradnl"/>
        </w:rPr>
        <w:t xml:space="preserve">y </w:t>
      </w:r>
      <w:r w:rsidRPr="00E514F2">
        <w:rPr>
          <w:rFonts w:ascii="Arial" w:hAnsi="Arial" w:cs="Arial"/>
          <w:spacing w:val="-3"/>
          <w:lang w:val="es-ES_tradnl"/>
        </w:rPr>
        <w:t xml:space="preserve">un </w:t>
      </w:r>
      <w:r w:rsidR="00DA59A8" w:rsidRPr="00E514F2">
        <w:rPr>
          <w:rFonts w:ascii="Arial" w:hAnsi="Arial" w:cs="Arial"/>
          <w:spacing w:val="-3"/>
          <w:lang w:val="es-ES_tradnl"/>
        </w:rPr>
        <w:t>veinte</w:t>
      </w:r>
      <w:r w:rsidRPr="00E514F2">
        <w:rPr>
          <w:rFonts w:ascii="Arial" w:hAnsi="Arial" w:cs="Arial"/>
          <w:spacing w:val="-3"/>
          <w:lang w:val="es-ES_tradnl"/>
        </w:rPr>
        <w:t xml:space="preserve"> por ciento de las sumas que correspondan al mandante, sea en virtud de sentencia, conciliación, avenimiento</w:t>
      </w:r>
      <w:r w:rsidR="0024603C" w:rsidRPr="00E514F2">
        <w:rPr>
          <w:rFonts w:ascii="Arial" w:hAnsi="Arial" w:cs="Arial"/>
          <w:spacing w:val="-3"/>
          <w:lang w:val="es-ES_tradnl"/>
        </w:rPr>
        <w:t xml:space="preserve">, </w:t>
      </w:r>
      <w:r w:rsidRPr="00E514F2">
        <w:rPr>
          <w:rFonts w:ascii="Arial" w:hAnsi="Arial" w:cs="Arial"/>
          <w:spacing w:val="-3"/>
          <w:lang w:val="es-ES_tradnl"/>
        </w:rPr>
        <w:t>transacción</w:t>
      </w:r>
      <w:r w:rsidR="0024603C" w:rsidRPr="00E514F2">
        <w:rPr>
          <w:rFonts w:ascii="Arial" w:hAnsi="Arial" w:cs="Arial"/>
          <w:spacing w:val="-3"/>
          <w:lang w:val="es-ES_tradnl"/>
        </w:rPr>
        <w:t xml:space="preserve"> u otro equivalente.</w:t>
      </w:r>
      <w:r w:rsidRPr="00E514F2">
        <w:rPr>
          <w:rFonts w:ascii="Arial" w:hAnsi="Arial" w:cs="Arial"/>
          <w:spacing w:val="-3"/>
          <w:lang w:val="es-ES_tradnl"/>
        </w:rPr>
        <w:t xml:space="preserve"> El mandatario tendrá derecho al honorario señalado a</w:t>
      </w:r>
      <w:r w:rsidR="00A721A4" w:rsidRPr="00E514F2">
        <w:rPr>
          <w:rFonts w:ascii="Arial" w:hAnsi="Arial" w:cs="Arial"/>
          <w:spacing w:val="-3"/>
          <w:lang w:val="es-ES_tradnl"/>
        </w:rPr>
        <w:t>u</w:t>
      </w:r>
      <w:r w:rsidRPr="00E514F2">
        <w:rPr>
          <w:rFonts w:ascii="Arial" w:hAnsi="Arial" w:cs="Arial"/>
          <w:spacing w:val="-3"/>
          <w:lang w:val="es-ES_tradnl"/>
        </w:rPr>
        <w:t xml:space="preserve">n cuando </w:t>
      </w:r>
      <w:r w:rsidR="007F397B" w:rsidRPr="00E514F2">
        <w:rPr>
          <w:rFonts w:ascii="Arial" w:hAnsi="Arial" w:cs="Arial"/>
          <w:spacing w:val="-3"/>
          <w:lang w:val="es-ES_tradnl"/>
        </w:rPr>
        <w:t xml:space="preserve">se le revoque el patrocinio y poder en el juicio que inicie, como asimismo en el evento de que </w:t>
      </w:r>
      <w:r w:rsidR="0024603C" w:rsidRPr="00E514F2">
        <w:rPr>
          <w:rFonts w:ascii="Arial" w:hAnsi="Arial" w:cs="Arial"/>
          <w:spacing w:val="-3"/>
          <w:lang w:val="es-ES_tradnl"/>
        </w:rPr>
        <w:t xml:space="preserve">el juicio </w:t>
      </w:r>
      <w:r w:rsidR="007F397B" w:rsidRPr="00E514F2">
        <w:rPr>
          <w:rFonts w:ascii="Arial" w:hAnsi="Arial" w:cs="Arial"/>
          <w:spacing w:val="-3"/>
          <w:lang w:val="es-ES_tradnl"/>
        </w:rPr>
        <w:t xml:space="preserve">terminare por desistimiento del mandante, casos en </w:t>
      </w:r>
      <w:r w:rsidRPr="00E514F2">
        <w:rPr>
          <w:rFonts w:ascii="Arial" w:hAnsi="Arial" w:cs="Arial"/>
          <w:spacing w:val="-3"/>
          <w:lang w:val="es-ES_tradnl"/>
        </w:rPr>
        <w:t xml:space="preserve">los cuales el referido porcentaje se calculará sobre las cantidades </w:t>
      </w:r>
      <w:r w:rsidR="000C69F2" w:rsidRPr="00E514F2">
        <w:rPr>
          <w:rFonts w:ascii="Arial" w:hAnsi="Arial" w:cs="Arial"/>
          <w:spacing w:val="-3"/>
          <w:lang w:val="es-ES_tradnl"/>
        </w:rPr>
        <w:t xml:space="preserve">demandadas, </w:t>
      </w:r>
      <w:r w:rsidRPr="00E514F2">
        <w:rPr>
          <w:rFonts w:ascii="Arial" w:hAnsi="Arial" w:cs="Arial"/>
          <w:spacing w:val="-3"/>
          <w:lang w:val="es-ES_tradnl"/>
        </w:rPr>
        <w:t xml:space="preserve">independientemente de que </w:t>
      </w:r>
      <w:r w:rsidR="00510B4F">
        <w:rPr>
          <w:rFonts w:ascii="Arial" w:hAnsi="Arial" w:cs="Arial"/>
          <w:spacing w:val="-3"/>
          <w:lang w:val="es-ES_tradnl"/>
        </w:rPr>
        <w:t>e</w:t>
      </w:r>
      <w:r w:rsidR="005A6CFF" w:rsidRPr="00E514F2">
        <w:rPr>
          <w:rFonts w:ascii="Arial" w:hAnsi="Arial" w:cs="Arial"/>
          <w:spacing w:val="-3"/>
          <w:lang w:val="es-ES_tradnl"/>
        </w:rPr>
        <w:t>l</w:t>
      </w:r>
      <w:r w:rsidRPr="00E514F2">
        <w:rPr>
          <w:rFonts w:ascii="Arial" w:hAnsi="Arial" w:cs="Arial"/>
          <w:spacing w:val="-3"/>
          <w:lang w:val="es-ES_tradnl"/>
        </w:rPr>
        <w:t xml:space="preserve"> mandante perciba alguna suma</w:t>
      </w:r>
      <w:r w:rsidR="000C69F2" w:rsidRPr="00E514F2">
        <w:rPr>
          <w:rFonts w:ascii="Arial" w:hAnsi="Arial" w:cs="Arial"/>
          <w:spacing w:val="-3"/>
          <w:lang w:val="es-ES_tradnl"/>
        </w:rPr>
        <w:t xml:space="preserve"> de dinero</w:t>
      </w:r>
      <w:r w:rsidRPr="00E514F2">
        <w:rPr>
          <w:rFonts w:ascii="Arial" w:hAnsi="Arial" w:cs="Arial"/>
          <w:spacing w:val="-3"/>
          <w:lang w:val="es-ES_tradnl"/>
        </w:rPr>
        <w:t xml:space="preserve"> o del monto que perciba. En comprobante y previa lectura firman los comparecientes junto al notario que autoriza. </w:t>
      </w:r>
    </w:p>
    <w:p w:rsidR="00F36BCE" w:rsidRDefault="00F36BCE">
      <w:pPr>
        <w:suppressAutoHyphens/>
        <w:spacing w:line="240" w:lineRule="atLeast"/>
        <w:jc w:val="both"/>
        <w:rPr>
          <w:rFonts w:ascii="Arial" w:hAnsi="Arial" w:cs="Arial"/>
          <w:spacing w:val="-3"/>
          <w:lang w:val="es-ES_tradnl"/>
        </w:rPr>
      </w:pPr>
    </w:p>
    <w:p w:rsidR="00C32E5B" w:rsidRPr="00E514F2" w:rsidRDefault="00C32E5B">
      <w:pPr>
        <w:suppressAutoHyphens/>
        <w:spacing w:line="240" w:lineRule="atLeast"/>
        <w:jc w:val="both"/>
        <w:rPr>
          <w:rFonts w:ascii="Arial" w:hAnsi="Arial" w:cs="Arial"/>
          <w:spacing w:val="-3"/>
          <w:lang w:val="es-ES_tradnl"/>
        </w:rPr>
      </w:pPr>
      <w:r w:rsidRPr="00E514F2">
        <w:rPr>
          <w:rFonts w:ascii="Arial" w:hAnsi="Arial" w:cs="Arial"/>
          <w:spacing w:val="-3"/>
          <w:lang w:val="es-ES_tradnl"/>
        </w:rPr>
        <w:t>Escritura redactada de acuerdo a minuta del mandante.</w:t>
      </w:r>
    </w:p>
    <w:sectPr w:rsidR="00C32E5B" w:rsidRPr="00E514F2" w:rsidSect="00F36BCE">
      <w:endnotePr>
        <w:numFmt w:val="decimal"/>
      </w:endnotePr>
      <w:pgSz w:w="12240" w:h="15840"/>
      <w:pgMar w:top="1134" w:right="1134" w:bottom="1134" w:left="1134" w:header="1418" w:footer="141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555" w:rsidRDefault="003D3555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:rsidR="003D3555" w:rsidRDefault="003D3555">
      <w:r>
        <w:rPr>
          <w:rFonts w:cs="Times New Roman"/>
          <w:sz w:val="20"/>
        </w:rPr>
        <w:t xml:space="preserve"> </w:t>
      </w:r>
    </w:p>
  </w:endnote>
  <w:endnote w:type="continuationNotice" w:id="1">
    <w:p w:rsidR="003D3555" w:rsidRDefault="003D3555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555" w:rsidRDefault="003D3555">
      <w:r>
        <w:rPr>
          <w:rFonts w:cs="Times New Roman"/>
          <w:sz w:val="20"/>
        </w:rPr>
        <w:separator/>
      </w:r>
    </w:p>
  </w:footnote>
  <w:footnote w:type="continuationSeparator" w:id="0">
    <w:p w:rsidR="003D3555" w:rsidRDefault="003D3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4D"/>
    <w:rsid w:val="000226B3"/>
    <w:rsid w:val="000C69F2"/>
    <w:rsid w:val="001050E4"/>
    <w:rsid w:val="0015718E"/>
    <w:rsid w:val="0016664D"/>
    <w:rsid w:val="001C3662"/>
    <w:rsid w:val="0024603C"/>
    <w:rsid w:val="002C0423"/>
    <w:rsid w:val="002D034B"/>
    <w:rsid w:val="003D3555"/>
    <w:rsid w:val="004071B3"/>
    <w:rsid w:val="0043190B"/>
    <w:rsid w:val="00510B4F"/>
    <w:rsid w:val="005A6CFF"/>
    <w:rsid w:val="00657A52"/>
    <w:rsid w:val="00666462"/>
    <w:rsid w:val="007F397B"/>
    <w:rsid w:val="00807664"/>
    <w:rsid w:val="00855544"/>
    <w:rsid w:val="00922FDC"/>
    <w:rsid w:val="00985955"/>
    <w:rsid w:val="009A5737"/>
    <w:rsid w:val="009E75F5"/>
    <w:rsid w:val="00A10B5A"/>
    <w:rsid w:val="00A721A4"/>
    <w:rsid w:val="00B32C68"/>
    <w:rsid w:val="00B86116"/>
    <w:rsid w:val="00C32E5B"/>
    <w:rsid w:val="00C376A0"/>
    <w:rsid w:val="00C45107"/>
    <w:rsid w:val="00C51872"/>
    <w:rsid w:val="00DA59A8"/>
    <w:rsid w:val="00E514F2"/>
    <w:rsid w:val="00E95BE6"/>
    <w:rsid w:val="00F314EB"/>
    <w:rsid w:val="00F3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BC7AB6-F894-4C8A-9BAC-99F00BA1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rFonts w:cs="Times New Roman"/>
      <w:sz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rFonts w:cs="Times New Roman"/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Puesto">
    <w:name w:val="Title"/>
    <w:basedOn w:val="Normal"/>
    <w:qFormat/>
    <w:rPr>
      <w:rFonts w:cs="Times New Roman"/>
      <w:sz w:val="20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 vienen en conferir mandato judicial a don José Alfredo Rojas García, cédula nacional de identidad número doce millones cua</vt:lpstr>
    </vt:vector>
  </TitlesOfParts>
  <Company>cons. juridica y previsional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 vienen en conferir mandato judicial a don José Alfredo Rojas García, cédula nacional de identidad número doce millones cua</dc:title>
  <dc:creator>.</dc:creator>
  <cp:lastModifiedBy>Roberto Veliz Montenegro    (LATAM)</cp:lastModifiedBy>
  <cp:revision>2</cp:revision>
  <cp:lastPrinted>2002-04-29T18:57:00Z</cp:lastPrinted>
  <dcterms:created xsi:type="dcterms:W3CDTF">2021-11-16T16:02:00Z</dcterms:created>
  <dcterms:modified xsi:type="dcterms:W3CDTF">2021-11-16T16:02:00Z</dcterms:modified>
</cp:coreProperties>
</file>